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CA-0064 · Arbitration</w:t>
      </w:r>
    </w:p>
    <w:p>
      <w:pPr>
        <w:pStyle w:val="Title"/>
      </w:pPr>
      <w:r>
        <w:t xml:space="preserve">Workable Construction of Arbitration Clauses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approach of reading a badly drafted arbitration clause so as to make it work where the intention to arbitrate is clear.</w:t>
      </w:r>
    </w:p>
    <w:p>
      <w:pPr>
        <w:pStyle w:val="Guidance"/>
      </w:pPr>
      <w:r>
        <w:t xml:space="preserve">Authorities to start from. These are places to begin, listed by the editors. Read each one in the original and check the citation before you rely on it.</w:t>
      </w:r>
    </w:p>
    <w:p>
      <w:pPr>
        <w:pStyle w:val="Bullet"/>
      </w:pPr>
      <w:r>
        <w:t xml:space="preserve">•  Enercon (India) Ltd. v. Enercon GmbH, (2014) 5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https://firstprecedent.org/canons/workable-construction-of-arbitration-clauses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