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CA-0030 · Labour</w:t>
      </w:r>
    </w:p>
    <w:p>
      <w:pPr>
        <w:pStyle w:val="Title"/>
      </w:pPr>
      <w:r>
        <w:t xml:space="preserve">Reading Labour Statutes for the Worker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In case of doubt, a labour statute is read in favour of the class it protects.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KCP Employees’ Assn. v. Management of KCP Ltd., (1978) 2 SCC 42</w:t>
      </w:r>
    </w:p>
    <w:p>
      <w:pPr>
        <w:pStyle w:val="Bullet"/>
      </w:pPr>
      <w:r>
        <w:t xml:space="preserve">•  Workmen v. American Express International Banking Corpn., (1985) 4 SCC 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https://firstprecedent.org/canons/welfare-statutes-in-labour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