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CA-0037 · Interpretation</w:t>
      </w:r>
    </w:p>
    <w:p>
      <w:pPr>
        <w:pStyle w:val="Title"/>
      </w:pPr>
      <w:r>
        <w:t xml:space="preserve">Ut Res Magis Valeat Quam Pereat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statute is read so that it works; a construction that defeats the provision is avoided if another is open.</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S. Teja Singh, AIR 1959 SC 352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https://firstprecedent.org/canons/ut-res-magis-valeat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