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CA-0061 · International (Public)</w:t>
      </w:r>
    </w:p>
    <w:p>
      <w:pPr>
        <w:pStyle w:val="Title"/>
      </w:pPr>
      <w:r>
        <w:t xml:space="preserve">Treaty Interpretation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general rule that a treaty is read in good faith by the ordinary meaning of its terms in context and in light of its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arts. 31–32, May 23, 1969, 1155 U.N.T.S. 331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https://firstprecedent.org/canons/treaty-interpretation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