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CA-0055 · Interpretation</w:t>
      </w:r>
    </w:p>
    <w:p>
      <w:pPr>
        <w:pStyle w:val="Title"/>
      </w:pPr>
      <w:r>
        <w:t xml:space="preserve">Text and Context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The rule that a statute is read as a whole, each word coloured by its setting and by the purpose of the Act.</w:t>
      </w:r>
    </w:p>
    <w:p>
      <w:pPr>
        <w:pStyle w:val="Guidance"/>
      </w:pPr>
      <w:r>
        <w:t xml:space="preserve">Authorities to start from. These are places to begin, listed by the editors. Read each one in the original and check the citation before you rely on it.</w:t>
      </w:r>
    </w:p>
    <w:p>
      <w:pPr>
        <w:pStyle w:val="Bullet"/>
      </w:pPr>
      <w:r>
        <w:t xml:space="preserve">•  RBI v. Peerless General Finance &amp; Investment Co. Ltd., (1987) 1 SCC 424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https://firstprecedent.org/canons/text-and-context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