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CA-0072 · Interpretation</w:t>
      </w:r>
    </w:p>
    <w:p>
      <w:pPr>
        <w:pStyle w:val="Title"/>
      </w:pPr>
      <w:r>
        <w:t xml:space="preserve">Temporary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happens to proceedings and penalties when a statute passed for a fixed period expires.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 Krishnan v. State of Madras, AIR 1951 SC 301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https://firstprecedent.org/canons/temporary-statutes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