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CA-0073 · Constitutional</w:t>
      </w:r>
    </w:p>
    <w:p>
      <w:pPr>
        <w:pStyle w:val="Title"/>
      </w:pPr>
      <w:r>
        <w:t xml:space="preserve">Taxation as a Distinct Legislative Head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the power to tax is found only in the taxing entries and is never implied from a general entry.</w:t>
      </w:r>
    </w:p>
    <w:p>
      <w:pPr>
        <w:pStyle w:val="Guidance"/>
      </w:pPr>
      <w:r>
        <w:t xml:space="preserve">Authorities to start from. These are places to begin, listed by the editors. Read each one in the original and check the citation before you rely on it.</w:t>
      </w:r>
    </w:p>
    <w:p>
      <w:pPr>
        <w:pStyle w:val="Bullet"/>
      </w:pPr>
      <w:r>
        <w:t xml:space="preserve">•  M.P.V. Sundararamier &amp; Co. v. State of A.P., AIR 1958 SC 468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https://firstprecedent.org/canons/taxation-as-a-distinct-legislative-head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