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CA-0015 · Tax</w:t>
      </w:r>
    </w:p>
    <w:p>
      <w:pPr>
        <w:pStyle w:val="Title"/>
      </w:pPr>
      <w:r>
        <w:t xml:space="preserve">Strict Construction of Taxing Statutes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Charging provisions are read strictly in favour of the assessee, and exemptions strictly against.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Commr. of Customs v. Dilip Kumar &amp; Co., (2018) 9 SCC 1</w:t>
      </w:r>
    </w:p>
    <w:p>
      <w:pPr>
        <w:pStyle w:val="Bullet"/>
      </w:pPr>
      <w:r>
        <w:t xml:space="preserve">•  Cape Brandy Syndicate v. IRC, [1921] 1 KB 64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https://firstprecedent.org/canons/strict-construction-of-taxing-statutes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