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CA-0041 · Interpretation</w:t>
      </w:r>
    </w:p>
    <w:p>
      <w:pPr>
        <w:pStyle w:val="Title"/>
      </w:pPr>
      <w:r>
        <w:t xml:space="preserve">Statutes in Pari Materia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Statutes on the same subject are read together, so that the same words carry the same meaning across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Madras v. A. Vaidyanatha Iyer, AIR 1958 SC 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https://firstprecedent.org/canons/statutes-in-pari-materia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