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CA-0049 · Interpretation</w:t>
      </w:r>
    </w:p>
    <w:p>
      <w:pPr>
        <w:pStyle w:val="Title"/>
      </w:pPr>
      <w:r>
        <w:t xml:space="preserve">Statutes Binding the State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Whether the State is bound by a general statute that does not name it, and the rejection of the Crown’s common law immunity.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W.B. v. Corporation of Calcutta, AIR 1967 SC 997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https://firstprecedent.org/canons/statutes-binding-the-state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