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CA-0024 · Interpretation</w:t>
      </w:r>
    </w:p>
    <w:p>
      <w:pPr>
        <w:pStyle w:val="Title"/>
      </w:pPr>
      <w:r>
        <w:t xml:space="preserve">The Statute Is Always Speaking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Updating construction: applying old words to new technology and changed conditions.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(through CBI) v. S.J. Choudhary, (1996) 2 SCC 428</w:t>
      </w:r>
    </w:p>
    <w:p>
      <w:pPr>
        <w:pStyle w:val="Bullet"/>
      </w:pPr>
      <w:r>
        <w:t xml:space="preserve">•  State of Maharashtra v. Dr. Praful B. Desai, (2003) 4 SCC 601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https://firstprecedent.org/canons/statute-always-speaking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