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CA-0054 · Interpretation</w:t>
      </w:r>
    </w:p>
    <w:p>
      <w:pPr>
        <w:pStyle w:val="Title"/>
      </w:pPr>
      <w:r>
        <w:t xml:space="preserve">Schedules and Forms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place of a schedule as part of the Act, and the rule that in a conflict the enacting section prevails.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Aphali Pharmaceuticals Ltd. v. State of Maharashtra, (1989) 4 SCC 378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https://firstprecedent.org/canons/schedules-and-forms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