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CA-0043 · Interpretation</w:t>
      </w:r>
    </w:p>
    <w:p>
      <w:pPr>
        <w:pStyle w:val="Title"/>
      </w:pPr>
      <w:r>
        <w:t xml:space="preserve">Repeal and Savings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What survives the repeal of a statute, and the rule that rights and liabilities already accrued continue unless a different intention appears.</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Clauses Act, 1897, § 6</w:t>
      </w:r>
    </w:p>
    <w:p>
      <w:pPr>
        <w:pStyle w:val="Bullet"/>
      </w:pPr>
      <w:r>
        <w:t xml:space="preserve">•  State of Punjab v. Mohar Singh, AIR 1955 SC 84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https://firstprecedent.org/canons/repeal-and-savings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