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Canon · CA-0033 · Property</w:t>
      </w:r>
    </w:p>
    <w:p>
      <w:pPr>
        <w:pStyle w:val="Title"/>
      </w:pPr>
      <w:r>
        <w:t xml:space="preserve">Reading a Will</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of reading</w:t>
      </w:r>
    </w:p>
    <w:p>
      <w:pPr>
        <w:pStyle w:val="Guidance"/>
      </w:pPr>
      <w:r>
        <w:t xml:space="preserve">State the canon and the kind of text it applies to.</w:t>
      </w:r>
    </w:p>
    <w:p/>
    <w:p>
      <w:pPr>
        <w:pStyle w:val="Heading1"/>
      </w:pPr>
      <w:r>
        <w:t xml:space="preserve">Its source</w:t>
      </w:r>
    </w:p>
    <w:p>
      <w:pPr>
        <w:pStyle w:val="Guidance"/>
      </w:pPr>
      <w:r>
        <w:t xml:space="preserve">The cases, Indian and older, from which the canon comes.</w:t>
      </w:r>
    </w:p>
    <w:p/>
    <w:p>
      <w:pPr>
        <w:pStyle w:val="Heading1"/>
      </w:pPr>
      <w:r>
        <w:t xml:space="preserve">A worked example</w:t>
      </w:r>
    </w:p>
    <w:p>
      <w:pPr>
        <w:pStyle w:val="Guidance"/>
      </w:pPr>
      <w:r>
        <w:t xml:space="preserve">One provision read with the canon, step by step.</w:t>
      </w:r>
    </w:p>
    <w:p/>
    <w:p>
      <w:pPr>
        <w:pStyle w:val="Heading1"/>
      </w:pPr>
      <w:r>
        <w:t xml:space="preserve">When it does not apply</w:t>
      </w:r>
    </w:p>
    <w:p>
      <w:pPr>
        <w:pStyle w:val="Guidance"/>
      </w:pPr>
      <w:r>
        <w:t xml:space="preserve">The conditions for using it and the cases that refused to.</w:t>
      </w:r>
    </w:p>
    <w:p/>
    <w:p>
      <w:pPr>
        <w:pStyle w:val="Heading1"/>
      </w:pPr>
      <w:r>
        <w:t xml:space="preserve">Its relation to other canons</w:t>
      </w:r>
    </w:p>
    <w:p>
      <w:pPr>
        <w:pStyle w:val="Guidance"/>
      </w:pPr>
      <w:r>
        <w:t xml:space="preserve">Which canons point the other way, and which prevails.</w:t>
      </w:r>
    </w:p>
    <w:p/>
    <w:p>
      <w:pPr>
        <w:pStyle w:val="Heading1"/>
      </w:pPr>
      <w:r>
        <w:t xml:space="preserve">Notes for the writer (delete before submitting)</w:t>
      </w:r>
    </w:p>
    <w:p>
      <w:pPr>
        <w:pStyle w:val="Guidance"/>
      </w:pPr>
      <w:r>
        <w:t xml:space="preserve">Scope of this entry. The armchair rule, giving effect to every clause, and preferring the later of two inconsistent clauses.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Succession Act, 1925, §§ 74–88</w:t>
      </w:r>
    </w:p>
    <w:p>
      <w:pPr>
        <w:pStyle w:val="Bullet"/>
      </w:pPr>
      <w:r>
        <w:t xml:space="preserve">•  Navneet Lal v. Gokul, (1976) 1 SCC 630</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https://firstprecedent.org/canons/reading-wills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