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CA-0012 · Interpretation</w:t>
      </w:r>
    </w:p>
    <w:p>
      <w:pPr>
        <w:pStyle w:val="Title"/>
      </w:pPr>
      <w:r>
        <w:t xml:space="preserve">Reading Down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Narrowing wide words to save a statute from invalidity, and the limit that a court cannot rewrite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Kedar Nath Singh v. State of Bihar, AIR 1962 SC 955</w:t>
      </w:r>
    </w:p>
    <w:p>
      <w:pPr>
        <w:pStyle w:val="Bullet"/>
      </w:pPr>
      <w:r>
        <w:t xml:space="preserve">•  DTC v. DTC Mazdoor Congress, 1991 Supp (1) SCC 600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https://firstprecedent.org/canons/reading-down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