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CA-0034 · Property</w:t>
      </w:r>
    </w:p>
    <w:p>
      <w:pPr>
        <w:pStyle w:val="Title"/>
      </w:pPr>
      <w:r>
        <w:t xml:space="preserve">Reading a Deed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In a deed the earlier clause prevails over a later inconsistent one, and the name given to the document is not decisive.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Ramkishorelal v. Kamalnarayan, AIR 1963 SC 890</w:t>
      </w:r>
    </w:p>
    <w:p>
      <w:pPr>
        <w:pStyle w:val="Bullet"/>
      </w:pPr>
      <w:r>
        <w:t xml:space="preserve">•  Transfer of Property Act, 1882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https://firstprecedent.org/canons/reading-deeds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