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CA-0035 · Legal History</w:t>
      </w:r>
    </w:p>
    <w:p>
      <w:pPr>
        <w:pStyle w:val="Title"/>
      </w:pPr>
      <w:r>
        <w:t xml:space="preserve">Using the Constituent Assembly Debates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How far the debates may be used to find the meaning of a constitutional provision, and the caution that goes with them.</w:t>
      </w:r>
    </w:p>
    <w:p>
      <w:pPr>
        <w:pStyle w:val="Guidance"/>
      </w:pPr>
      <w:r>
        <w:t xml:space="preserve">Authorities to start from. These are places to begin, listed by the editors. Read each one in the original and check the citation before you rely on it.</w:t>
      </w:r>
    </w:p>
    <w:p>
      <w:pPr>
        <w:pStyle w:val="Bullet"/>
      </w:pPr>
      <w:r>
        <w:t xml:space="preserve">•  A.K. Gopalan v. State of Madras, AIR 1950 SC 27</w:t>
      </w:r>
    </w:p>
    <w:p>
      <w:pPr>
        <w:pStyle w:val="Bullet"/>
      </w:pPr>
      <w:r>
        <w:t xml:space="preserve">•  Kesavananda Bharati v. State of Kerala, (1973) 4 SCC 225</w:t>
      </w:r>
    </w:p>
    <w:p>
      <w:pPr>
        <w:pStyle w:val="Bullet"/>
      </w:pPr>
      <w:r>
        <w:t xml:space="preserve">•  S.R. Chaudhuri v. State of Punjab, (2001) 7 SCC 126</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https://firstprecedent.org/canons/reading-a-constitution-historically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