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CA-0020 · Interpretation</w:t>
      </w:r>
    </w:p>
    <w:p>
      <w:pPr>
        <w:pStyle w:val="Title"/>
      </w:pPr>
      <w:r>
        <w:t xml:space="preserve">Reading a Proviso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proviso qualifies the main enactment and is not read as an independent provision, with the recognised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 Sundaram Pillai v. V.R. Pattabiraman, (1985) 1 SCC 591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https://firstprecedent.org/canons/proviso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