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CA-0052 · Interpretation</w:t>
      </w:r>
    </w:p>
    <w:p>
      <w:pPr>
        <w:pStyle w:val="Title"/>
      </w:pPr>
      <w:r>
        <w:t xml:space="preserve">Procedural Laws Are Retrospective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no one has a vested right in procedure, so that changes of forum and procedure apply to pending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Hitendra Vishnu Thakur v. State of Maharashtra, (1994) 4 SCC 602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https://firstprecedent.org/canons/procedural-laws-are-retrospective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