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CA-0013 · Interpretation</w:t>
      </w:r>
    </w:p>
    <w:p>
      <w:pPr>
        <w:pStyle w:val="Title"/>
      </w:pPr>
      <w:r>
        <w:t xml:space="preserve">The Presumption against Retrospectivity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Substantive law is prospective unless the contrary appears; procedural law is not. Declaratory and curative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Vatika Township (P) Ltd., (2015) 1 SCC 1</w:t>
      </w:r>
    </w:p>
    <w:p>
      <w:pPr>
        <w:pStyle w:val="Bullet"/>
      </w:pPr>
      <w:r>
        <w:t xml:space="preserve">•  Hitendra Vishnu Thakur v. State of Maharashtra, (1994) 4 SCC 602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https://firstprecedent.org/canons/presumption-against-retrospectivity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