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CA-0047 · Interpretation</w:t>
      </w:r>
    </w:p>
    <w:p>
      <w:pPr>
        <w:pStyle w:val="Title"/>
      </w:pPr>
      <w:r>
        <w:t xml:space="preserve">Presumption against Ouster of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exclusion of the civil courts is not readily inferred and must be express or clearly implied.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Dhulabhai v. State of M.P., AIR 1969 SC 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https://firstprecedent.org/canons/presumption-against-ouster-of-jurisdiction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