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CA-0048 · Interpretation</w:t>
      </w:r>
    </w:p>
    <w:p>
      <w:pPr>
        <w:pStyle w:val="Title"/>
      </w:pPr>
      <w:r>
        <w:t xml:space="preserve">Presumption against Extraterritorial Operation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Parliament legislates for India, and the nexus needed for a law to reach events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245</w:t>
      </w:r>
    </w:p>
    <w:p>
      <w:pPr>
        <w:pStyle w:val="Bullet"/>
      </w:pPr>
      <w:r>
        <w:t xml:space="preserve">•  GVK Industries Ltd. v. ITO, (2011) 4 SCC 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https://firstprecedent.org/canons/presumption-against-extraterritoriality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