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CA-0060 · Tax</w:t>
      </w:r>
    </w:p>
    <w:p>
      <w:pPr>
        <w:pStyle w:val="Title"/>
      </w:pPr>
      <w:r>
        <w:t xml:space="preserve">Presumption against Double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that the same income is not taxed twice, and why it yields to clear words.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Jain Bros. v. Union of India, (1969) 3 SCC 311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https://firstprecedent.org/canons/presumption-against-double-taxation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