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CA-0007 · Interpretation</w:t>
      </w:r>
    </w:p>
    <w:p>
      <w:pPr>
        <w:pStyle w:val="Title"/>
      </w:pPr>
      <w:r>
        <w:t xml:space="preserve">Noscitur a Sociis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word is known by the company it keeps: a wider canon than ejusdem generis, and its limits where the legislature has used wide words deliberately.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Hospital Mazdoor Sabha, AIR 1960 SC 610</w:t>
      </w:r>
    </w:p>
    <w:p>
      <w:pPr>
        <w:pStyle w:val="Bullet"/>
      </w:pPr>
      <w:r>
        <w:t xml:space="preserve">•  Rohit Pulp &amp; Paper Mills Ltd. v. CCE, (1990) 3 SCC 447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https://firstprecedent.org/canons/noscitur-a-sociis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