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CA-0046 · Interpretation</w:t>
      </w:r>
    </w:p>
    <w:p>
      <w:pPr>
        <w:pStyle w:val="Title"/>
      </w:pPr>
      <w:r>
        <w:t xml:space="preserve">No Surplusage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presumption that the legislature does not waste words, so that every word is given a meaning if possible.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Aswini Kumar Ghose v. Arabinda Bose, AIR 1952 SC 369</w:t>
      </w:r>
    </w:p>
    <w:p>
      <w:pPr>
        <w:pStyle w:val="Bullet"/>
      </w:pPr>
      <w:r>
        <w:t xml:space="preserve">•  J.K. Cotton Spinning &amp; Weaving Mills Co. Ltd. v. State of U.P., AIR 1961 SC 1170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https://firstprecedent.org/canons/no-surplusage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