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CA-0003 · Interpretation</w:t>
      </w:r>
    </w:p>
    <w:p>
      <w:pPr>
        <w:pStyle w:val="Title"/>
      </w:pPr>
      <w:r>
        <w:t xml:space="preserve">The Mischief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four questions in Heydon’s Case, and their adoption as the purposive approach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Heydon’s Case, (1584) 3 Co Rep 7a</w:t>
      </w:r>
    </w:p>
    <w:p>
      <w:pPr>
        <w:pStyle w:val="Bullet"/>
      </w:pPr>
      <w:r>
        <w:t xml:space="preserve">•  Bengal Immunity Co. Ltd. v. State of Bihar, AIR 1955 SC 661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https://firstprecedent.org/canons/mischief-rule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