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CA-0018 · Interpretation</w:t>
      </w:r>
    </w:p>
    <w:p>
      <w:pPr>
        <w:pStyle w:val="Title"/>
      </w:pPr>
      <w:r>
        <w:t xml:space="preserve">Mandatory and Directory Provisions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When "shall" means "may": the consequences of non-compliance as the guide.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U.P. v. Babu Ram Upadhya, AIR 1961 SC 751</w:t>
      </w:r>
    </w:p>
    <w:p>
      <w:pPr>
        <w:pStyle w:val="Bullet"/>
      </w:pPr>
      <w:r>
        <w:t xml:space="preserve">•  Salem Advocate Bar Assn. v. Union of India, (2005) 6 SCC 344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https://firstprecedent.org/canons/mandatory-and-directory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