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CA-0001 · Interpretation</w:t>
      </w:r>
    </w:p>
    <w:p>
      <w:pPr>
        <w:pStyle w:val="Title"/>
      </w:pPr>
      <w:r>
        <w:t xml:space="preserve">The Literal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Plain words are given their plain meaning: the first rule of construction and the conditions under which courts leave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Kanai Lal Sur v. Paramnidhi Sadhukhan, AIR 1957 SC 907</w:t>
      </w:r>
    </w:p>
    <w:p>
      <w:pPr>
        <w:pStyle w:val="Bullet"/>
      </w:pPr>
      <w:r>
        <w:t xml:space="preserve">•  Nathi Devi v. Radha Devi Gupta, (2005) 2 SCC 271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https://firstprecedent.org/canons/literal-rule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