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CA-0062 · Jurisprudence</w:t>
      </w:r>
    </w:p>
    <w:p>
      <w:pPr>
        <w:pStyle w:val="Title"/>
      </w:pPr>
      <w:r>
        <w:t xml:space="preserve">Judgments Are Not Read as Statutes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words in a judgment are read in the setting of the facts of the case and not like the text of an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Dhanwanti Devi, (1996) 6 SCC 44</w:t>
      </w:r>
    </w:p>
    <w:p>
      <w:pPr>
        <w:pStyle w:val="Bullet"/>
      </w:pPr>
      <w:r>
        <w:t xml:space="preserve">•  Bharat Petroleum Corpn. Ltd. v. N.R. Vairamani, (2004) 8 SCC 579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https://firstprecedent.org/canons/judgments-are-not-statutes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