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CA-0042 · Interpretation</w:t>
      </w:r>
    </w:p>
    <w:p>
      <w:pPr>
        <w:pStyle w:val="Title"/>
      </w:pPr>
      <w:r>
        <w:t xml:space="preserve">Implied Repeal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against repeal by implication, and the degree of conflict between two statutes needed to overcome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Council, Palai v. T.J. Joseph, AIR 1963 SC 1561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https://firstprecedent.org/canons/implied-repeal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