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CA-0038 · Interpretation</w:t>
      </w:r>
    </w:p>
    <w:p>
      <w:pPr>
        <w:pStyle w:val="Title"/>
      </w:pPr>
      <w:r>
        <w:t xml:space="preserve">Headings and Marginal Notes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far the heading of a chapter or the note beside a section may be used to settle the meaning of the text.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Bhinka v. Charan Singh, AIR 1959 SC 960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https://firstprecedent.org/canons/headings-and-marginal-notes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