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CA-0005 · Interpretation</w:t>
      </w:r>
    </w:p>
    <w:p>
      <w:pPr>
        <w:pStyle w:val="Title"/>
      </w:pPr>
      <w:r>
        <w:t xml:space="preserve">Harmonious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Provisions of one statute are read so that each has effect and none is rendered a dead letter.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Venkataramana Devaru v. State of Mysore, AIR 1958 SC 255</w:t>
      </w:r>
    </w:p>
    <w:p>
      <w:pPr>
        <w:pStyle w:val="Bullet"/>
      </w:pPr>
      <w:r>
        <w:t xml:space="preserve">•  Sultana Begum v. Prem Chand Jain, (1997) 1 SCC 373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https://firstprecedent.org/canons/harmonious-construction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