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CA-0009 · Interpretation</w:t>
      </w:r>
    </w:p>
    <w:p>
      <w:pPr>
        <w:pStyle w:val="Title"/>
      </w:pPr>
      <w:r>
        <w:t xml:space="preserve">The Special Overrides the General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A special provision prevails over a general one, between statutes and within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J.K. Cotton Spinning &amp; Weaving Mills Co. Ltd. v. State of U.P., AIR 1961 SC 1170</w:t>
      </w:r>
    </w:p>
    <w:p>
      <w:pPr>
        <w:pStyle w:val="Bullet"/>
      </w:pPr>
      <w:r>
        <w:t xml:space="preserve">•  LIC of India v. D.J. Bahadur, (1981) 1 SCC 315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https://firstprecedent.org/canons/generalia-specialibus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