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CA-0022 · Interpretation</w:t>
      </w:r>
    </w:p>
    <w:p>
      <w:pPr>
        <w:pStyle w:val="Title"/>
      </w:pPr>
      <w:r>
        <w:t xml:space="preserve">External Aids to Construction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Parliamentary debates, committee reports and statements of objects: what a court may look at, and for what purpose.</w:t>
      </w:r>
    </w:p>
    <w:p>
      <w:pPr>
        <w:pStyle w:val="Guidance"/>
      </w:pPr>
      <w:r>
        <w:t xml:space="preserve">Authorities to start from. These are places to begin, listed by the editors. Read each one in the original and check the citation before you rely on it.</w:t>
      </w:r>
    </w:p>
    <w:p>
      <w:pPr>
        <w:pStyle w:val="Bullet"/>
      </w:pPr>
      <w:r>
        <w:t xml:space="preserve">•  Pepper v. Hart, [1993] AC 593</w:t>
      </w:r>
    </w:p>
    <w:p>
      <w:pPr>
        <w:pStyle w:val="Bullet"/>
      </w:pPr>
      <w:r>
        <w:t xml:space="preserve">•  K.P. Varghese v. ITO, (1981) 4 SCC 173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https://firstprecedent.org/canons/external-aids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