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CA-0006 · Interpretation</w:t>
      </w:r>
    </w:p>
    <w:p>
      <w:pPr>
        <w:pStyle w:val="Title"/>
      </w:pPr>
      <w:r>
        <w:t xml:space="preserve">Ejusdem Generis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General words following specific ones take their colour from the genus: the conditions for applying the canon.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Amar Chandra Chakraborty v. Collector of Excise, (1972) 2 SCC 442</w:t>
      </w:r>
    </w:p>
    <w:p>
      <w:pPr>
        <w:pStyle w:val="Bullet"/>
      </w:pPr>
      <w:r>
        <w:t xml:space="preserve">•  Kavalappara Kottarathil Kochuni v. State of Madras, AIR 1960 SC 1080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https://firstprecedent.org/canons/ejusdem-generis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