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CA-0021 · Interpretation</w:t>
      </w:r>
    </w:p>
    <w:p>
      <w:pPr>
        <w:pStyle w:val="Title"/>
      </w:pPr>
      <w:r>
        <w:t xml:space="preserve">Means, Includes, and Means and Includes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Exhaustive, extensive and hybrid definitions, and the opening words "unless the context otherwise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 Kasilingam v. P.S.G. College of Technology, 1995 Supp (2) SCC 348</w:t>
      </w:r>
    </w:p>
    <w:p>
      <w:pPr>
        <w:pStyle w:val="Bullet"/>
      </w:pPr>
      <w:r>
        <w:t xml:space="preserve">•  Black Diamond Beverages v. CTO, (1998) 1 SCC 458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https://firstprecedent.org/canons/definition-clauses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