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CA-0058 · Tax</w:t>
      </w:r>
    </w:p>
    <w:p>
      <w:pPr>
        <w:pStyle w:val="Title"/>
      </w:pPr>
      <w:r>
        <w:t xml:space="preserve">Construction of Exemption Notifications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a tax exemption is read strictly and any ambiguity resolved in favour of the revenue.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Commr. of Customs v. Dilip Kumar &amp; Co., (2018) 9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https://firstprecedent.org/canons/construction-of-exemption-notifications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