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CA-0029 · International (Public)</w:t>
      </w:r>
    </w:p>
    <w:p>
      <w:pPr>
        <w:pStyle w:val="Title"/>
      </w:pPr>
      <w:r>
        <w:t xml:space="preserve">Reading Statutes Consistently with International Law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Where a statute is open to two meanings, the one that conforms to India’s treaty obligations is preferred.</w:t>
      </w:r>
    </w:p>
    <w:p>
      <w:pPr>
        <w:pStyle w:val="Guidance"/>
      </w:pPr>
      <w:r>
        <w:t xml:space="preserve">Authorities to start from. These are places to begin, listed by the editors. Read each one in the original and check the citation before you rely on it.</w:t>
      </w:r>
    </w:p>
    <w:p>
      <w:pPr>
        <w:pStyle w:val="Bullet"/>
      </w:pPr>
      <w:r>
        <w:t xml:space="preserve">•  Gramophone Co. of India Ltd. v. Birendra Bahadur Pandey, (1984) 2 SCC 534</w:t>
      </w:r>
    </w:p>
    <w:p>
      <w:pPr>
        <w:pStyle w:val="Bullet"/>
      </w:pPr>
      <w:r>
        <w:t xml:space="preserve">•  Vishaka v. State of Rajasthan, (1997) 6 SCC 241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https://firstprecedent.org/canons/consistent-interpretation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