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CA-0026 · Tax</w:t>
      </w:r>
    </w:p>
    <w:p>
      <w:pPr>
        <w:pStyle w:val="Title"/>
      </w:pPr>
      <w:r>
        <w:t xml:space="preserve">The Common Parlance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Words in a taxing entry are read as traders and consumers understand them, not in their scientific sense.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Ramavatar Budhaiprasad v. Asstt. Sales Tax Officer, AIR 1961 SC 1325</w:t>
      </w:r>
    </w:p>
    <w:p>
      <w:pPr>
        <w:pStyle w:val="Bullet"/>
      </w:pPr>
      <w:r>
        <w:t xml:space="preserve">•  CCE v. Connaught Plaza Restaurant (P) Ltd., (2012) 13 SCC 639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https://firstprecedent.org/canons/common-parlance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