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CA-0067 · Interpretation</w:t>
      </w:r>
    </w:p>
    <w:p>
      <w:pPr>
        <w:pStyle w:val="Title"/>
      </w:pPr>
      <w:r>
        <w:t xml:space="preserve">Commencement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a Central Act comes into force on the day it receives assent unless it says otherwise.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Clauses Act, 1897, §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https://firstprecedent.org/canons/commencement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