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CA-0027 · Tax</w:t>
      </w:r>
    </w:p>
    <w:p>
      <w:pPr>
        <w:pStyle w:val="Title"/>
      </w:pPr>
      <w:r>
        <w:t xml:space="preserve">Charging and Machinery Provisions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A charge is read strictly; the machinery to collect it is read so as to make the charge work.</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B.C. Srinivasa Setty, (1981) 2 SCC 460</w:t>
      </w:r>
    </w:p>
    <w:p>
      <w:pPr>
        <w:pStyle w:val="Bullet"/>
      </w:pPr>
      <w:r>
        <w:t xml:space="preserve">•  Gursahai Saigal v. CIT, AIR 1963 SC 1062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https://firstprecedent.org/canons/charging-and-machinery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