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CA-0017 · Interpretation</w:t>
      </w:r>
    </w:p>
    <w:p>
      <w:pPr>
        <w:pStyle w:val="Title"/>
      </w:pPr>
      <w:r>
        <w:t xml:space="preserve">Casus Omissus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court cannot supply what the legislature left out, except in clear cases of necessity.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Padma Sundara Rao v. State of T.N., (2002) 3 SCC 533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https://firstprecedent.org/canons/casus-omissus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