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CA-0032 · Contract</w:t>
      </w:r>
    </w:p>
    <w:p>
      <w:pPr>
        <w:pStyle w:val="Title"/>
      </w:pPr>
      <w:r>
        <w:t xml:space="preserve">Implying a Term for Business Efficacy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When a court reads into a contract a term the parties did not write: the officious bystander and the five conditions.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Nabha Power Ltd. v. Punjab State Power Corpn. Ltd., (2018) 11 SCC 508</w:t>
      </w:r>
    </w:p>
    <w:p>
      <w:pPr>
        <w:pStyle w:val="Bullet"/>
      </w:pPr>
      <w:r>
        <w:t xml:space="preserve">•  The Moorcock, (1889) 14 PD 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https://firstprecedent.org/canons/business-efficacy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