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CA-0045 · Interpretation</w:t>
      </w:r>
    </w:p>
    <w:p>
      <w:pPr>
        <w:pStyle w:val="Title"/>
      </w:pPr>
      <w:r>
        <w:t xml:space="preserve">“And” and “Or”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the conjunctive is read as disjunctive and the reverse, to carry out the evident intention of the legislature.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Ishwar Singh Bindra v. State of U.P., AIR 1968 SC 1450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https://firstprecedent.org/canons/and-and-or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